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color w:val="38761d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6"/>
          <w:szCs w:val="36"/>
          <w:u w:val="single"/>
          <w:rtl w:val="0"/>
        </w:rPr>
        <w:t xml:space="preserve">Seventh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38761d"/>
          <w:sz w:val="36"/>
          <w:szCs w:val="36"/>
          <w:u w:val="single"/>
          <w:rtl w:val="0"/>
        </w:rPr>
        <w:t xml:space="preserve"> Grade Science Curriculum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4a86e8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4a86e8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28"/>
          <w:szCs w:val="28"/>
          <w:u w:val="single"/>
          <w:rtl w:val="0"/>
        </w:rPr>
        <w:t xml:space="preserve">Cells and Heredity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Cells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characteristics of cells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chemistry of life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cells structure and function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levels  of cellular organization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homeostasis and cell processes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Reproduction and Heredity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mitosis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meiosis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sexual and asexual reproduction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heredity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punnett squares and pedigrees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DNA structure and function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biotechnology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4a86e8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4a86e8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28"/>
          <w:szCs w:val="28"/>
          <w:u w:val="single"/>
          <w:rtl w:val="0"/>
        </w:rPr>
        <w:t xml:space="preserve">Matter and Energy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Matter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properties of matter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physical and chemical changes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pure substances and mixtures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states of matter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changes of state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Energy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temperature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thermal energy and heat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effects of energy transfer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Atoms and the Periodic Table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the atom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the periodic table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electrons and chemical bonding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ionic, covalent and metallic bonding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Interactions of Matter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chemical reactions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Solutions, Acids and Bases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solutions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acids, bases and salts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measuring pH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4a86e8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4a86e8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a86e8"/>
          <w:sz w:val="28"/>
          <w:szCs w:val="28"/>
          <w:u w:val="single"/>
          <w:rtl w:val="0"/>
        </w:rPr>
        <w:t xml:space="preserve">Earth’s Water and Atmosphere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Earth’s Water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0"/>
          <w:szCs w:val="20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water and its properties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0"/>
          <w:szCs w:val="20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water cycle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0"/>
          <w:szCs w:val="20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surface water and groundwater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Oceanography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Earth’s oceans and ocean floor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ocean waves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ocean currents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Earth’s Atmosphere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the atmosphere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energy transfer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wind in the atmosphere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Weather and Climate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elements of weather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clouds and cloud formation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influences of weather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severe weather and weather safety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weather maps and weather prediction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climate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666666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climate change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666666"/>
          <w:sz w:val="24"/>
          <w:szCs w:val="24"/>
          <w:rtl w:val="0"/>
        </w:rPr>
        <w:t xml:space="preserve">      </w:t>
        <w:tab/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Fusion Series from Houghton Mifflin Harcourt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color w:val="38761d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